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BC340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СанПиН 2.1.2.2645-10 "Санитарно-эпидемиологические требования к условиям проживания в жилых зданиях и помещениях" (с изменениями на 27 декабря 2010 года)</w:t>
      </w:r>
    </w:p>
    <w:p w:rsidR="00174962" w:rsidRPr="00BC340B" w:rsidRDefault="00174962" w:rsidP="0017496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ГЛАВНЫЙ ГОСУДАРСТВЕННЫЙ САНИТАРНЫЙ ВРАЧ РОССИЙСКОЙ ФЕДЕРАЦИИ</w:t>
      </w:r>
    </w:p>
    <w:p w:rsidR="00174962" w:rsidRPr="00BC340B" w:rsidRDefault="00174962" w:rsidP="0017496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ПОСТАНОВЛЕНИЕ</w:t>
      </w:r>
    </w:p>
    <w:p w:rsidR="00174962" w:rsidRPr="00BC340B" w:rsidRDefault="00174962" w:rsidP="0017496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от 10 июня 2010 года N 64</w:t>
      </w:r>
    </w:p>
    <w:p w:rsidR="00174962" w:rsidRPr="00BC340B" w:rsidRDefault="00174962" w:rsidP="0017496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Об утверждении СанПиН 2.1.2.2645-10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(с изменениями на 27 декабря 2010 года)</w:t>
      </w:r>
    </w:p>
    <w:p w:rsidR="00BC340B" w:rsidRPr="00BC340B" w:rsidRDefault="00BC340B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Документ с изменениями, внесенными: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hyperlink r:id="rId5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постановлением Главного государственного санитарного врача Российской Федерации от 27 декабря 2010 года N 175</w:t>
        </w:r>
      </w:hyperlink>
      <w:r w:rsidR="00BC340B"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В соответствии с </w:t>
      </w:r>
      <w:hyperlink r:id="rId6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(ч.1), ст.21; N 1 (ч.1), ст.29; N 27, ст.3213; N 46, ст.5554; N 49, ст.6070; 2008, N 24, ст.2801; N 29 (ч.1), ст.3418; N 30 (ч.2), ст.3616; N 44, ст.4984; N 52 (ч.1), ст.6223; 2009, N 1, ст.17) и </w:t>
      </w:r>
      <w:hyperlink r:id="rId7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 (Собрание законодательства Российской Федерации, 2000, N 31, ст.3295; 2004, N 8, ст.663;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N 47, ст.4666; 2005, N 39, ст.3953)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постановляю: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1. Утвердить санитарно-эпидемиологические правила и нормативы СанПиН 2.1.2.2645-10 "Санитарно-эпидемиологические требования к условиям проживания в жилых зданиях и помещениях" (приложение).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 Ввести в действие указанные санитарно-эпидемиологические правила и нормативы с 15 августа 2010 года.</w:t>
      </w:r>
      <w:bookmarkStart w:id="0" w:name="_GoBack"/>
      <w:bookmarkEnd w:id="0"/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Г.Онищенко</w:t>
      </w:r>
      <w:proofErr w:type="spell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Зарегистрировано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в Министерстве юстиции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Российской Федерации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15 июля 2010 года,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регистрационный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N 17833</w:t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Приложение. СанПиН 2.1.2.2645-10 "Санитарно-эпидемиологические требования к условиям проживания в жилых зданиях и помещениях"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Приложение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УТВЕРЖДЕНЫ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постановлением Главного государственного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санитарного врача Российской Федерации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от 10 июня 2010 года N 64</w:t>
      </w:r>
      <w:proofErr w:type="gramEnd"/>
    </w:p>
    <w:p w:rsidR="00174962" w:rsidRPr="00BC340B" w:rsidRDefault="00174962" w:rsidP="0017496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     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Санитарно-эпидемиологические правила и нормативы СанПиН 2.1.2.2645-10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(с изменениями на 27 декабря 2010 года)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В документе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учтены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: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hyperlink r:id="rId8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 и дополнения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 (</w:t>
      </w:r>
      <w:hyperlink r:id="rId9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постановление Главного государственного санитарного врача Российской Федерации от 27 декабря 2010 года N 175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).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I. Общие положения и область применения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1.1. Санитарные правила и нормативы (далее - санитарные правила) разработаны в соответствии с законодательством Российской Федерации.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1.2. Настоящие санитарные правила устанавливают обязательные санитарно-эпидемиологические требования к условиям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1.3. Требования настоящих санитарных правил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1.4 Санитарные правила 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1.5.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Контроль за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соблюдением требований настоящих санитарных правил осуществляется органами,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II. Гигиенические требования к участку и территории жилых зданий при их размещении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2.1.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Жилые здания должны располагаться в соответствии с генеральным планом территории, функциональном зонированием территории города, поселка и других населенных пунктов (пункт в редакции, введенной в действие с 27 марта 2011 года </w:t>
      </w:r>
      <w:hyperlink r:id="rId10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2.2. Участок, отводимый для размещения жилых зданий, должен: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- 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законодательством 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Российской Федерации.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2.3.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2.4.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2.5. По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внутридворовым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2.6.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2.7.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При размещении жилых зданий предусматривается их обеспечение водоснабжением, канализацией, теплоснабжением, электроснабжением (пункт в редакции, введенной в действие с 27 марта 2011 года </w:t>
      </w:r>
      <w:hyperlink r:id="rId11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2.8. 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2.9.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2.10.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кроме гостевых (пункт в редакции, введенной в действие с 27 марта 2011 года </w:t>
      </w:r>
      <w:hyperlink r:id="rId12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2.11. Уборка территории должна проводиться ежедневно, включая в теплое время года - полив территории, в зимнее время - антигололедные мероприятия (удаление, посыпание песком, 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антигололедными реагентами и другое).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2.12. Территория дворов жилых зданий должна быть освещена в вечернее время суток. Нормы освещенности приведены в приложении 1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III.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Гигиенические требования к жилым помещениям и помещениям общественного назначения, размещаемых в жилых зданиях</w:t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3.1. Размещение жилых помещений квартир в цокольных и подвальных этажах не допускается.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3.2.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3.3. Помещения общественного назначения, встроенные в жилые здания, должны иметь входы, изолированные от жилой части здания.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3.4. Не допускается размещение в жилых помещениях промышленных производств.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3.5. 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детьми, помещений лечебно-профилактического назначения не допускается.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3.6.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раковиной. Допускается устройство кладовых площадью не менее 3 м</w:t>
      </w:r>
      <w:r w:rsidRPr="00BC340B">
        <w:rPr>
          <w:rFonts w:ascii="Times New Roman" w:eastAsia="Times New Roman" w:hAnsi="Times New Roman" w:cs="Times New Roman"/>
          <w:noProof/>
          <w:spacing w:val="2"/>
          <w:lang w:eastAsia="ru-RU"/>
        </w:rPr>
        <mc:AlternateContent>
          <mc:Choice Requires="wps">
            <w:drawing>
              <wp:inline distT="0" distB="0" distL="0" distR="0" wp14:anchorId="4DE57E6E" wp14:editId="783010A2">
                <wp:extent cx="103505" cy="215900"/>
                <wp:effectExtent l="0" t="0" r="0" b="0"/>
                <wp:docPr id="4" name="Прямоугольник 4" descr="СанПиН 2.1.2.2645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СанПиН 2.1.2.2645-10 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/чел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3.7. 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персонала должны располагаться за пределами придомовой территории.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магистралей.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Загрузочные помещения допускается не устраивать при площади встроенных общественных помещений до 150 м</w:t>
      </w:r>
      <w:r w:rsidRPr="00BC340B">
        <w:rPr>
          <w:rFonts w:ascii="Times New Roman" w:eastAsia="Times New Roman" w:hAnsi="Times New Roman" w:cs="Times New Roman"/>
          <w:noProof/>
          <w:spacing w:val="2"/>
          <w:lang w:eastAsia="ru-RU"/>
        </w:rPr>
        <mc:AlternateContent>
          <mc:Choice Requires="wps">
            <w:drawing>
              <wp:inline distT="0" distB="0" distL="0" distR="0" wp14:anchorId="66FB0C69" wp14:editId="48181832">
                <wp:extent cx="103505" cy="215900"/>
                <wp:effectExtent l="0" t="0" r="0" b="0"/>
                <wp:docPr id="3" name="Прямоугольник 3" descr="СанПиН 2.1.2.2645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СанПиН 2.1.2.2645-10 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3.8.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 (пункт в редакции, введенной в действие с 27 марта 2011 года </w:t>
      </w:r>
      <w:hyperlink r:id="rId13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3.9. Не допускается 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3.10. Жилые здания высотой более пяти этажей должны быть оборудованы лифтами (грузовыми и пассажирскими). При оборудовании дома лифтами, габариты одной из кабин, должны обеспечивать возможность транспортирования человека на носилках или инвалидной коляске.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3.11. 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электрощитовую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IV. Гигиенические требования к отоплению, вентиляции, микроклимату и воздушной среде помещений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4.1. Системы отопления и вентиляции должны обеспечивать допустимые условия микроклимата и воздушной среды помещений.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Оптимальные и допустимые параметры микроклимата в помещениях жилых зданий приведены в приложении 2 к настоящим санитарным правилам (пункт дополнен с 27 марта 2011 года </w:t>
      </w:r>
      <w:hyperlink r:id="rId14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4.3. Пункт исключен с 27 марта 2011 года </w:t>
      </w:r>
      <w:hyperlink r:id="rId15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4.4. Нагревательные приборы должны быть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легко доступны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для уборки. При водяном отоплении температура поверхности нагревательных приборов не должна превышать 90°С. Для приборов с температурой нагревательной поверхности более 75°С необходимо предусматривать защитные ограждения.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4.5. 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4.6.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4.7.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туалетах и сушильных шкафах.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Устройство вентиляционной системы должно исключать поступление воздуха из одной квартиры в другую.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Не допускается объединение вентиляционных каналов кухонь и санитарных узлов с жилыми комнатами.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4.8. 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4.9. Шахты вытяжной вентиляции должны выступать над коньком крыши или плоской кровли на высоту не менее 1 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4.10.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(далее - ПДК)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 или ориентировочных безопасных уровней воздействия (далее - ОБУВ).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V. Гигиенические требования к естественному и искусственному освещению и инсоляции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5.1. Жилые комнаты и кухни жилых домов должны иметь естественное освещение через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светопроемы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в наружных ограждающих конструкциях здания.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5.2. Коэффициент естественной освещенности (далее - КЕО) в жилых комнатах и кухнях должен быть не менее 0,5%.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5.3.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При одностороннем боковом освещении в жилых зданиях нормативное значение КЕО должно обеспечиваться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светопроемов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: в одной комнате - для одно-, двух- и трехкомнатных квартир, и в двух комнатах для четырех- и пятикомнатных квартир.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В остальных комнатах многокомнатных квартир и в кухне нормативное значение КЕО при боковом освещении должно обеспечиваться в расчетной точке, расположенной в центре помещения на плоскости пола.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5.4. Все помещения жилых зданий должны быть обеспечены общим и местным искусственным освещением.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5.5. Освещенность на лестничных площадках, ступенях лестниц, в лифтовых холлах, поэтажных коридорах, вестибюлях, подвалах и чердаках должна быть не ниже 20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лк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на полу.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5.6. Над каждым основным входом в жилой дом должны быть установлены светильники, обеспечивающие на площадке входа освещенность не менее 6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лк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, для горизонтальной поверхности и не менее 10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лк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, для вертикальной поверхности на высоте 2,0 м от пола. Должно быть также предусмотрено освещение пешеходной дорожки у входа в здание.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5.7.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5.8.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квартир, функционального назначения помещений, планировочных зон города и географической широты местности: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- для северной зоны (севернее 58°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с.ш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.) - не менее 2,5 ч. в день с 22 апреля по 22 августа;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- для центральной зоны (58°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с.ш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. - 48°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с.ш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.) - не менее 2,0 ч. в день с 22 марта по 22 сентября;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- для южной зоны (южнее 48°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с.ш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.) - не менее 1,5 ч. в день с 22 февраля по 22 октября.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5.9. Нормативная продолжительность инсоляции должна быть обеспечена не менее чем в одной комнате 1-3-комнатных квартир и не менее чем в двух комнатах 4-х и более комнатных квартир.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5.10. Допускается прерывистость продолжительности инсоляции, при которой один из периодов должен быть не менее 1 часа. При этом суммарная продолжительность нормируемой инсоляции должна увеличиваться на 0,5 часа соответственно для каждой зоны.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hyperlink r:id="rId16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Пункты 5.12 и 5.13 предыдущей редакции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 с 27 марта 2011 года считаются соответственно пунктами 5.11 и 5.12 настоящей редакции - </w:t>
      </w:r>
      <w:hyperlink r:id="rId17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 и дополнения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____________________________________________________________________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5.11.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Для жилых зданий, расположенных в северной и центральной зонах, допускается снижение продолжительности инсоляции на 0,5 часа в следующих случаях: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- в двухкомнатных и трехкомнатных квартирах, где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инсолируется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не менее двух комнат;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- в четырех- и многокомнатных квартирах, где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инсолируется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не менее трех комнат;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  <w:t>- при реконструкции жилой застройки, расположенной в центральной и исторической зонах городов, определенных их генеральными планами развития. 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5.12. На детских игровых площадках и спортивных площадках, расположенных на придомовой территории, продолжительность инсоляции должна составлять не менее 3 часов на 50% площадок участка независимо от географической широты.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br/>
      </w:r>
    </w:p>
    <w:p w:rsidR="00174962" w:rsidRPr="00BC340B" w:rsidRDefault="00174962" w:rsidP="00174962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VI. Гигиенические требования к уровням шума, вибрации, ультразвука и инфразвука, электромагнитных полей и излучений, ионизирующего излучения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(глава в редакции, введенной в действие с 27 марта 2011 года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hyperlink r:id="rId18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Изменениями и дополнениями N 1 от 27 декабря 2010 года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, -</w:t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см. </w:t>
      </w:r>
      <w:hyperlink r:id="rId19" w:history="1">
        <w:r w:rsidRPr="00BC340B">
          <w:rPr>
            <w:rFonts w:ascii="Times New Roman" w:eastAsia="Times New Roman" w:hAnsi="Times New Roman" w:cs="Times New Roman"/>
            <w:spacing w:val="2"/>
            <w:lang w:eastAsia="ru-RU"/>
          </w:rPr>
          <w:t>предыдущую редакцию</w:t>
        </w:r>
      </w:hyperlink>
      <w:r w:rsidRPr="00BC340B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6.1.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приложении 3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6.1.1. Уровни шума от внешних источников в жилых помещениях оцениваются с учетом их измерения при открытых форточках, фрамугах, узких створках окон.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6.1.2.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Эквивалентные и максимальные уровни звука в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для шума, создаваемого на территории средствами автомобильного, железнодорожного транспорта в 2 м от ограждающих конструкций первого эшелона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шумозащитных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типов жилых зданий, обращенных в сторону магистральных улиц общегородского и районного значения, железных дорог, допускается принимать на 10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выше (поправка </w:t>
      </w:r>
      <w:r w:rsidRPr="00BC340B">
        <w:rPr>
          <w:rFonts w:ascii="Times New Roman" w:eastAsia="Times New Roman" w:hAnsi="Times New Roman" w:cs="Times New Roman"/>
          <w:noProof/>
          <w:spacing w:val="2"/>
          <w:lang w:eastAsia="ru-RU"/>
        </w:rPr>
        <mc:AlternateContent>
          <mc:Choice Requires="wps">
            <w:drawing>
              <wp:inline distT="0" distB="0" distL="0" distR="0" wp14:anchorId="5F652043" wp14:editId="45938BF9">
                <wp:extent cx="146685" cy="180975"/>
                <wp:effectExtent l="0" t="0" r="0" b="0"/>
                <wp:docPr id="2" name="Прямоугольник 2" descr="СанПиН 2.1.2.2645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анПиН 2.1.2.2645-10 " style="width:11.5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 = +10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), указанных во второй строке приложения 3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6.1.3. 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Уровни звукового давления в октавных полосах частот в дБ, уровни звука и эквивалентные уровни звука в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принимать на 5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ниже (поправка </w:t>
      </w:r>
      <w:r w:rsidRPr="00BC340B">
        <w:rPr>
          <w:rFonts w:ascii="Times New Roman" w:eastAsia="Times New Roman" w:hAnsi="Times New Roman" w:cs="Times New Roman"/>
          <w:noProof/>
          <w:spacing w:val="2"/>
          <w:lang w:eastAsia="ru-RU"/>
        </w:rPr>
        <mc:AlternateContent>
          <mc:Choice Requires="wps">
            <w:drawing>
              <wp:inline distT="0" distB="0" distL="0" distR="0" wp14:anchorId="486D9CEF" wp14:editId="302A4F9F">
                <wp:extent cx="146685" cy="180975"/>
                <wp:effectExtent l="0" t="0" r="0" b="0"/>
                <wp:docPr id="1" name="Прямоугольник 1" descr="СанПиН 2.1.2.2645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анПиН 2.1.2.2645-10 " style="width:11.5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 = минус (-) 5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), указанных в приложении 3 к настоящим санитарным правилам (поправку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для тонального и импульсного шума в этом случае принимать не следует).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6.1.4. Для тонального и импульсного шума следует принимать поправку минус (-) 5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дБА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6.2. Предельно допустимые уровни вибрации в жилых помещениях приведены в приложении 4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6.2.1. В дневное время в жилых помещениях допустимо превышение нормативных уровней на 5 дБ.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6.2.2. Для непостоянной вибрации к допустимым значениям уровней, приведенных в приложении 4 к настоящим санитарным правилам, вводится поправка минус (-) 10 дБ, а абсолютные значения умножаются на 0,32.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6.3. Предельно допустимые уровни инфразвука на территории жилой застройки и в жилых зданиях приведены в приложении 5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 Предельно допустимые уровни электромагнитных полей (далее - ЭМП) при воздействии на население.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6.4.1. Предельно допустимый уровень ослабления геомагнитного поля в помещениях жилых зданий устанавливается равным 1,5.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6.4.2. Предельно допустимый уровень напряженности электростатического поля в жилых помещениях составляет 15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кВ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/м.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6.4.3. На территории населенных мест предельно допустимая напряженность переменного электрического поля с частотой 50 Гц на высоте 2 м составляет 1000</w:t>
      </w:r>
      <w:proofErr w:type="gram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 В</w:t>
      </w:r>
      <w:proofErr w:type="gram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6.4.4. Допустимые уровни ЭМП диапазона частот 30 кГц - 300 ГГц для населения (на селитебной территории, в местах массового отдыха, внутри жилых помещений) приведены в приложении 6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6.4.6. Допустимая напряженность переменного магнитного поля приведена в приложении 7 к настоящим санитарным правилам.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(ПРТО) внутри жилых зданий, не должны превышать предельно допустимые уровни для населения.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>6.5. Допустимые уровни ионизирующего излучения.</w:t>
      </w:r>
      <w:r w:rsidRPr="00BC340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74962" w:rsidRPr="00BC340B" w:rsidRDefault="00174962" w:rsidP="00174962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C340B">
        <w:rPr>
          <w:rFonts w:ascii="Times New Roman" w:eastAsia="Times New Roman" w:hAnsi="Times New Roman" w:cs="Times New Roman"/>
          <w:spacing w:val="2"/>
          <w:lang w:eastAsia="ru-RU"/>
        </w:rPr>
        <w:t xml:space="preserve">6.5.1. Мощность эффективной дозы гамма-излучения внутри зданий не должна превышать мощности дозы на открытой местности более чем на 0,2 </w:t>
      </w:r>
      <w:proofErr w:type="spellStart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мкЗв</w:t>
      </w:r>
      <w:proofErr w:type="spellEnd"/>
      <w:r w:rsidRPr="00BC340B">
        <w:rPr>
          <w:rFonts w:ascii="Times New Roman" w:eastAsia="Times New Roman" w:hAnsi="Times New Roman" w:cs="Times New Roman"/>
          <w:spacing w:val="2"/>
          <w:lang w:eastAsia="ru-RU"/>
        </w:rPr>
        <w:t>/час.</w:t>
      </w:r>
    </w:p>
    <w:p w:rsidR="00252B82" w:rsidRPr="00BC340B" w:rsidRDefault="00252B82" w:rsidP="00174962">
      <w:pPr>
        <w:spacing w:after="0"/>
        <w:ind w:left="-567" w:firstLine="567"/>
        <w:rPr>
          <w:rFonts w:ascii="Times New Roman" w:hAnsi="Times New Roman" w:cs="Times New Roman"/>
        </w:rPr>
      </w:pPr>
    </w:p>
    <w:sectPr w:rsidR="00252B82" w:rsidRPr="00BC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2"/>
    <w:rsid w:val="00174962"/>
    <w:rsid w:val="00252B82"/>
    <w:rsid w:val="00BC340B"/>
    <w:rsid w:val="00C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4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58" TargetMode="External"/><Relationship Id="rId13" Type="http://schemas.openxmlformats.org/officeDocument/2006/relationships/hyperlink" Target="http://docs.cntd.ru/document/902256358" TargetMode="External"/><Relationship Id="rId18" Type="http://schemas.openxmlformats.org/officeDocument/2006/relationships/hyperlink" Target="http://docs.cntd.ru/document/9022563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6358" TargetMode="External"/><Relationship Id="rId17" Type="http://schemas.openxmlformats.org/officeDocument/2006/relationships/hyperlink" Target="http://docs.cntd.ru/document/9022563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678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2256358" TargetMode="External"/><Relationship Id="rId5" Type="http://schemas.openxmlformats.org/officeDocument/2006/relationships/hyperlink" Target="http://docs.cntd.ru/document/902256358" TargetMode="External"/><Relationship Id="rId15" Type="http://schemas.openxmlformats.org/officeDocument/2006/relationships/hyperlink" Target="http://docs.cntd.ru/document/902256358" TargetMode="External"/><Relationship Id="rId10" Type="http://schemas.openxmlformats.org/officeDocument/2006/relationships/hyperlink" Target="http://docs.cntd.ru/document/902256358" TargetMode="External"/><Relationship Id="rId19" Type="http://schemas.openxmlformats.org/officeDocument/2006/relationships/hyperlink" Target="http://docs.cntd.ru/document/902267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6358" TargetMode="External"/><Relationship Id="rId14" Type="http://schemas.openxmlformats.org/officeDocument/2006/relationships/hyperlink" Target="http://docs.cntd.ru/document/902256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5</cp:revision>
  <dcterms:created xsi:type="dcterms:W3CDTF">2019-03-28T12:57:00Z</dcterms:created>
  <dcterms:modified xsi:type="dcterms:W3CDTF">2019-03-29T10:43:00Z</dcterms:modified>
</cp:coreProperties>
</file>